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BF" w:rsidRDefault="00E14183">
      <w:pPr>
        <w:jc w:val="center"/>
        <w:rPr>
          <w:rFonts w:cs="Calibri"/>
          <w:b/>
          <w:bCs/>
          <w:caps/>
          <w:color w:val="00007F"/>
          <w:sz w:val="28"/>
          <w:szCs w:val="28"/>
          <w:lang w:val="uk-UA" w:eastAsia="uk-UA" w:bidi="uk-UA"/>
        </w:rPr>
      </w:pPr>
      <w:r>
        <w:rPr>
          <w:rFonts w:cs="Calibri"/>
          <w:b/>
          <w:bCs/>
          <w:caps/>
          <w:color w:val="00007F"/>
          <w:sz w:val="28"/>
          <w:szCs w:val="28"/>
          <w:lang w:val="uk-UA" w:eastAsia="uk-UA" w:bidi="uk-UA"/>
        </w:rPr>
        <w:t>Вебінар</w:t>
      </w:r>
    </w:p>
    <w:p w:rsidR="00850FBF" w:rsidRDefault="00E14183">
      <w:pPr>
        <w:jc w:val="center"/>
        <w:rPr>
          <w:rFonts w:cs="Calibri"/>
          <w:b/>
          <w:bCs/>
          <w:caps/>
          <w:color w:val="00007F"/>
          <w:sz w:val="28"/>
          <w:szCs w:val="28"/>
          <w:lang w:val="uk-UA" w:eastAsia="uk-UA" w:bidi="uk-UA"/>
        </w:rPr>
      </w:pPr>
      <w:r>
        <w:rPr>
          <w:rFonts w:cs="Calibri"/>
          <w:b/>
          <w:bCs/>
          <w:caps/>
          <w:color w:val="00007F"/>
          <w:sz w:val="28"/>
          <w:szCs w:val="28"/>
          <w:lang w:val="uk-UA" w:eastAsia="uk-UA" w:bidi="uk-UA"/>
        </w:rPr>
        <w:t>"Сучасні виклики європейських студій "</w:t>
      </w:r>
    </w:p>
    <w:p w:rsidR="00850FBF" w:rsidRDefault="00E14183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Загальна</w:t>
      </w:r>
      <w:proofErr w:type="spellEnd"/>
      <w:r w:rsidR="00B80A2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інформація</w:t>
      </w:r>
      <w:proofErr w:type="spellEnd"/>
    </w:p>
    <w:tbl>
      <w:tblPr>
        <w:tblW w:w="9336" w:type="dxa"/>
        <w:tblInd w:w="-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6252"/>
      </w:tblGrid>
      <w:tr w:rsidR="00850FBF" w:rsidRPr="0076509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8" w:space="0" w:color="4F81BD"/>
              <w:tl2br w:val="nil"/>
              <w:tr2bl w:val="nil"/>
            </w:tcBorders>
            <w:shd w:val="solid" w:color="548DD4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F" w:rsidRPr="00807BCC" w:rsidRDefault="00E14183">
            <w:pPr>
              <w:jc w:val="both"/>
              <w:rPr>
                <w:rFonts w:cs="Calibri"/>
                <w:sz w:val="24"/>
                <w:szCs w:val="24"/>
                <w:lang w:val="ru-RU"/>
              </w:rPr>
            </w:pPr>
            <w:proofErr w:type="spellStart"/>
            <w:r w:rsidRPr="00807BCC">
              <w:rPr>
                <w:rFonts w:cs="Calibri"/>
                <w:sz w:val="24"/>
                <w:szCs w:val="24"/>
                <w:lang w:val="ru-RU"/>
              </w:rPr>
              <w:t>Назва</w:t>
            </w:r>
            <w:proofErr w:type="spellEnd"/>
            <w:r w:rsidRPr="00807BCC">
              <w:rPr>
                <w:rFonts w:cs="Calibri"/>
                <w:sz w:val="24"/>
                <w:szCs w:val="24"/>
                <w:lang w:val="ru-RU"/>
              </w:rPr>
              <w:t xml:space="preserve"> Проекту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BF" w:rsidRDefault="00E14183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cs="Calibri"/>
                <w:color w:val="000000"/>
                <w:sz w:val="24"/>
                <w:szCs w:val="24"/>
                <w:lang w:val="uk-UA"/>
              </w:rPr>
              <w:t xml:space="preserve">Модуль Жана Моне програми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uk-UA"/>
              </w:rPr>
              <w:t>Еразмус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uk-UA"/>
              </w:rPr>
              <w:t xml:space="preserve">+ </w:t>
            </w:r>
          </w:p>
          <w:p w:rsidR="00850FBF" w:rsidRDefault="00E14183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cs="Calibri"/>
                <w:color w:val="000000"/>
                <w:sz w:val="24"/>
                <w:szCs w:val="24"/>
                <w:lang w:val="uk-UA"/>
              </w:rPr>
              <w:t>«Соціальна згуртованість в освіті і врядуванні: Європейські студії»</w:t>
            </w:r>
          </w:p>
        </w:tc>
      </w:tr>
      <w:tr w:rsidR="00850FBF">
        <w:tc>
          <w:tcPr>
            <w:tcW w:w="3084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  <w:tl2br w:val="nil"/>
              <w:tr2bl w:val="nil"/>
            </w:tcBorders>
            <w:shd w:val="solid" w:color="548DD4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F" w:rsidRPr="00807BCC" w:rsidRDefault="00E14183">
            <w:pPr>
              <w:pStyle w:val="4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  <w:lang w:val="uk-UA"/>
              </w:rPr>
            </w:pPr>
            <w:r w:rsidRPr="00807BCC">
              <w:rPr>
                <w:rFonts w:ascii="Calibri" w:eastAsia="Calibri" w:hAnsi="Calibri" w:cs="Calibri"/>
                <w:b w:val="0"/>
                <w:bCs w:val="0"/>
                <w:sz w:val="24"/>
                <w:szCs w:val="24"/>
                <w:lang w:val="uk-UA"/>
              </w:rPr>
              <w:t>Номер проекту</w:t>
            </w:r>
          </w:p>
        </w:tc>
        <w:tc>
          <w:tcPr>
            <w:tcW w:w="6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BF" w:rsidRDefault="00E14183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4"/>
                <w:szCs w:val="24"/>
                <w:lang w:val="uk-UA"/>
              </w:rPr>
              <w:t>587057-EPP-1-2017-1-UA-EPPJMO-MODULE</w:t>
            </w:r>
          </w:p>
        </w:tc>
      </w:tr>
      <w:tr w:rsidR="00850FBF" w:rsidRPr="00765096">
        <w:tc>
          <w:tcPr>
            <w:tcW w:w="3084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  <w:tl2br w:val="nil"/>
              <w:tr2bl w:val="nil"/>
            </w:tcBorders>
            <w:shd w:val="solid" w:color="548DD4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F" w:rsidRPr="00807BCC" w:rsidRDefault="00E14183">
            <w:pPr>
              <w:jc w:val="both"/>
              <w:rPr>
                <w:rFonts w:cs="Calibri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07BCC">
              <w:rPr>
                <w:rFonts w:cs="Calibri"/>
                <w:sz w:val="24"/>
                <w:szCs w:val="24"/>
                <w:lang w:val="ru-RU"/>
              </w:rPr>
              <w:t>Ц</w:t>
            </w:r>
            <w:proofErr w:type="gramEnd"/>
            <w:r w:rsidRPr="00807BCC">
              <w:rPr>
                <w:rFonts w:cs="Calibri"/>
                <w:sz w:val="24"/>
                <w:szCs w:val="24"/>
                <w:lang w:val="ru-RU"/>
              </w:rPr>
              <w:t>ільовагрупа</w:t>
            </w:r>
            <w:proofErr w:type="spellEnd"/>
          </w:p>
        </w:tc>
        <w:tc>
          <w:tcPr>
            <w:tcW w:w="6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BF" w:rsidRDefault="00E14183">
            <w:pPr>
              <w:spacing w:after="0"/>
              <w:jc w:val="both"/>
              <w:rPr>
                <w:rFonts w:cs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ru-RU"/>
              </w:rPr>
              <w:t>студенти</w:t>
            </w:r>
            <w:proofErr w:type="spellEnd"/>
            <w:r>
              <w:rPr>
                <w:rFonts w:cs="Calibri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cs="Calibri"/>
                <w:sz w:val="24"/>
                <w:szCs w:val="24"/>
                <w:lang w:val="ru-RU"/>
              </w:rPr>
              <w:t>на</w:t>
            </w:r>
            <w:r w:rsidR="009F2FB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cs="Calibri"/>
                <w:sz w:val="24"/>
                <w:szCs w:val="24"/>
                <w:lang w:val="ru-RU"/>
              </w:rPr>
              <w:t>ковці</w:t>
            </w:r>
            <w:proofErr w:type="spellEnd"/>
            <w:r>
              <w:rPr>
                <w:rFonts w:cs="Calibri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cs="Calibri"/>
                <w:sz w:val="24"/>
                <w:szCs w:val="24"/>
                <w:lang w:val="ru-RU"/>
              </w:rPr>
              <w:t>аспіранти</w:t>
            </w:r>
            <w:proofErr w:type="spellEnd"/>
            <w:r>
              <w:rPr>
                <w:rFonts w:cs="Calibri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cs="Calibri"/>
                <w:sz w:val="24"/>
                <w:szCs w:val="24"/>
                <w:lang w:val="ru-RU"/>
              </w:rPr>
              <w:t>державніслужбовці</w:t>
            </w:r>
            <w:proofErr w:type="spellEnd"/>
            <w:r>
              <w:rPr>
                <w:rFonts w:cs="Calibri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cs="Calibri"/>
                <w:sz w:val="24"/>
                <w:szCs w:val="24"/>
                <w:lang w:val="ru-RU"/>
              </w:rPr>
              <w:t>представникитериторіальних</w:t>
            </w:r>
            <w:proofErr w:type="spellEnd"/>
            <w:r>
              <w:rPr>
                <w:rFonts w:cs="Calibri"/>
                <w:sz w:val="24"/>
                <w:szCs w:val="24"/>
                <w:lang w:val="ru-RU"/>
              </w:rPr>
              <w:t xml:space="preserve"> громад і </w:t>
            </w:r>
            <w:proofErr w:type="spellStart"/>
            <w:r>
              <w:rPr>
                <w:rFonts w:cs="Calibri"/>
                <w:sz w:val="24"/>
                <w:szCs w:val="24"/>
                <w:lang w:val="ru-RU"/>
              </w:rPr>
              <w:t>громадськихорганізацій</w:t>
            </w:r>
            <w:proofErr w:type="spellEnd"/>
          </w:p>
        </w:tc>
      </w:tr>
      <w:tr w:rsidR="00850FBF" w:rsidRPr="00765096">
        <w:tc>
          <w:tcPr>
            <w:tcW w:w="3084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  <w:tl2br w:val="nil"/>
              <w:tr2bl w:val="nil"/>
            </w:tcBorders>
            <w:shd w:val="solid" w:color="548DD4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F" w:rsidRPr="00807BCC" w:rsidRDefault="00E14183">
            <w:pPr>
              <w:jc w:val="both"/>
              <w:rPr>
                <w:rFonts w:cs="Calibri"/>
                <w:sz w:val="24"/>
                <w:szCs w:val="24"/>
                <w:lang w:val="ru-RU"/>
              </w:rPr>
            </w:pPr>
            <w:proofErr w:type="spellStart"/>
            <w:r w:rsidRPr="00807BCC">
              <w:rPr>
                <w:rFonts w:cs="Calibri"/>
                <w:sz w:val="24"/>
                <w:szCs w:val="24"/>
                <w:lang w:val="ru-RU"/>
              </w:rPr>
              <w:t>Викладач</w:t>
            </w:r>
            <w:proofErr w:type="spellEnd"/>
          </w:p>
        </w:tc>
        <w:tc>
          <w:tcPr>
            <w:tcW w:w="6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BF" w:rsidRDefault="00E14183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Каріна Костянтинівна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Баранцева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к. </w:t>
            </w:r>
            <w:proofErr w:type="spellStart"/>
            <w:r>
              <w:rPr>
                <w:sz w:val="24"/>
                <w:szCs w:val="24"/>
                <w:lang w:val="uk-UA"/>
              </w:rPr>
              <w:t>філос.н</w:t>
            </w:r>
            <w:proofErr w:type="spellEnd"/>
            <w:r>
              <w:rPr>
                <w:sz w:val="24"/>
                <w:szCs w:val="24"/>
                <w:lang w:val="uk-UA"/>
              </w:rPr>
              <w:t>.,  доц., координатор проектної діяльності відділу з академічного розвитку Європейського гуманітарного університету (Вільнюс, Литва)</w:t>
            </w:r>
          </w:p>
        </w:tc>
      </w:tr>
      <w:tr w:rsidR="00850FBF" w:rsidRPr="00765096">
        <w:tc>
          <w:tcPr>
            <w:tcW w:w="3084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  <w:tl2br w:val="nil"/>
              <w:tr2bl w:val="nil"/>
            </w:tcBorders>
            <w:shd w:val="solid" w:color="548DD4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F" w:rsidRPr="00807BCC" w:rsidRDefault="00E14183">
            <w:pPr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807BCC">
              <w:rPr>
                <w:rFonts w:cs="Calibri"/>
                <w:sz w:val="24"/>
                <w:szCs w:val="24"/>
                <w:lang w:val="uk-UA"/>
              </w:rPr>
              <w:t>Відповідальний</w:t>
            </w:r>
            <w:r w:rsidRPr="00807BCC">
              <w:rPr>
                <w:rFonts w:cs="Calibri"/>
                <w:sz w:val="24"/>
                <w:szCs w:val="24"/>
                <w:lang w:val="lt-LT"/>
              </w:rPr>
              <w:t>(</w:t>
            </w:r>
            <w:r w:rsidRPr="00807BCC">
              <w:rPr>
                <w:rFonts w:cs="Calibri"/>
                <w:sz w:val="24"/>
                <w:szCs w:val="24"/>
                <w:lang w:val="uk-UA"/>
              </w:rPr>
              <w:t xml:space="preserve">а) за організацію </w:t>
            </w:r>
          </w:p>
        </w:tc>
        <w:tc>
          <w:tcPr>
            <w:tcW w:w="6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BF" w:rsidRPr="00A44888" w:rsidRDefault="00E141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888">
              <w:rPr>
                <w:rFonts w:ascii="Times New Roman" w:hAnsi="Times New Roman"/>
                <w:sz w:val="24"/>
                <w:szCs w:val="24"/>
                <w:lang w:val="uk-UA"/>
              </w:rPr>
              <w:t>Мар’я Нестерова, академічний координатор проекту, керівник Модуля</w:t>
            </w:r>
            <w:r w:rsidR="009F6809" w:rsidRPr="00A44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SCEGES</w:t>
            </w:r>
            <w:r w:rsidRPr="00A4488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50FBF" w:rsidRPr="00C61B8E" w:rsidRDefault="00E141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Марина </w:t>
            </w:r>
            <w:proofErr w:type="spellStart"/>
            <w:r w:rsidRPr="00A44888">
              <w:rPr>
                <w:rFonts w:ascii="Times New Roman" w:hAnsi="Times New Roman"/>
                <w:sz w:val="24"/>
                <w:szCs w:val="24"/>
                <w:lang w:val="uk-UA"/>
              </w:rPr>
              <w:t>Чулаєвська</w:t>
            </w:r>
            <w:proofErr w:type="spellEnd"/>
            <w:r w:rsidRPr="00A44888">
              <w:rPr>
                <w:rFonts w:ascii="Times New Roman" w:hAnsi="Times New Roman"/>
                <w:sz w:val="24"/>
                <w:szCs w:val="24"/>
                <w:lang w:val="uk-UA"/>
              </w:rPr>
              <w:t>, керівник Модуля</w:t>
            </w:r>
            <w:r w:rsidR="00A44888" w:rsidRPr="00A44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SCEGES </w:t>
            </w:r>
          </w:p>
          <w:p w:rsidR="009F6809" w:rsidRPr="00C61B8E" w:rsidRDefault="009F68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Тетяна </w:t>
            </w:r>
            <w:proofErr w:type="spellStart"/>
            <w:r w:rsidRPr="00A44888">
              <w:rPr>
                <w:rFonts w:ascii="Times New Roman" w:hAnsi="Times New Roman"/>
                <w:sz w:val="24"/>
                <w:szCs w:val="24"/>
                <w:lang w:val="uk-UA"/>
              </w:rPr>
              <w:t>Матусевич</w:t>
            </w:r>
            <w:proofErr w:type="spellEnd"/>
            <w:r w:rsidRPr="00A44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проектний менеджер  Модуля SCEGES </w:t>
            </w:r>
          </w:p>
        </w:tc>
      </w:tr>
      <w:tr w:rsidR="00850FBF">
        <w:tc>
          <w:tcPr>
            <w:tcW w:w="3084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  <w:tl2br w:val="nil"/>
              <w:tr2bl w:val="nil"/>
            </w:tcBorders>
            <w:shd w:val="solid" w:color="548DD4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F" w:rsidRPr="00807BCC" w:rsidRDefault="00E14183">
            <w:pPr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807BCC">
              <w:rPr>
                <w:rFonts w:cs="Calibri"/>
                <w:sz w:val="24"/>
                <w:szCs w:val="24"/>
                <w:lang w:val="uk-UA"/>
              </w:rPr>
              <w:t>Дата та час проведення</w:t>
            </w:r>
          </w:p>
        </w:tc>
        <w:tc>
          <w:tcPr>
            <w:tcW w:w="6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BF" w:rsidRDefault="00E14183">
            <w:pPr>
              <w:spacing w:after="0"/>
              <w:jc w:val="both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27 грудня 2017</w:t>
            </w:r>
          </w:p>
          <w:p w:rsidR="00850FBF" w:rsidRDefault="00E14183">
            <w:pPr>
              <w:spacing w:after="0"/>
              <w:jc w:val="both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13:30 – 15.30год</w:t>
            </w:r>
          </w:p>
        </w:tc>
      </w:tr>
      <w:tr w:rsidR="00850FBF" w:rsidRPr="00765096">
        <w:tc>
          <w:tcPr>
            <w:tcW w:w="3084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8" w:space="0" w:color="4F81BD"/>
              <w:tl2br w:val="nil"/>
              <w:tr2bl w:val="nil"/>
            </w:tcBorders>
            <w:shd w:val="solid" w:color="548DD4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F" w:rsidRPr="00807BCC" w:rsidRDefault="00E14183">
            <w:pPr>
              <w:rPr>
                <w:b/>
                <w:bCs/>
                <w:color w:val="FF0000"/>
                <w:sz w:val="24"/>
                <w:szCs w:val="24"/>
                <w:lang w:val="uk-UA"/>
              </w:rPr>
            </w:pPr>
            <w:r w:rsidRPr="00807BCC">
              <w:rPr>
                <w:b/>
                <w:bCs/>
                <w:color w:val="FF0000"/>
                <w:sz w:val="24"/>
                <w:szCs w:val="24"/>
                <w:lang w:val="uk-UA"/>
              </w:rPr>
              <w:t xml:space="preserve">Реєстрація на </w:t>
            </w:r>
            <w:proofErr w:type="spellStart"/>
            <w:r w:rsidRPr="00807BCC">
              <w:rPr>
                <w:b/>
                <w:bCs/>
                <w:color w:val="FF0000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6252" w:type="dxa"/>
            <w:tcBorders>
              <w:top w:val="single" w:sz="8" w:space="0" w:color="4F81BD"/>
              <w:left w:val="single" w:sz="8" w:space="0" w:color="4F81BD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BF" w:rsidRPr="00481470" w:rsidRDefault="00641111">
            <w:pPr>
              <w:rPr>
                <w:lang w:val="uk-UA"/>
              </w:rPr>
            </w:pPr>
            <w:hyperlink r:id="rId7" w:tgtFrame="_blank" w:history="1">
              <w:r w:rsidR="00481470">
                <w:rPr>
                  <w:rStyle w:val="a8"/>
                </w:rPr>
                <w:t>https</w:t>
              </w:r>
              <w:r w:rsidR="00481470" w:rsidRPr="00481470">
                <w:rPr>
                  <w:rStyle w:val="a8"/>
                  <w:lang w:val="uk-UA"/>
                </w:rPr>
                <w:t>://</w:t>
              </w:r>
              <w:r w:rsidR="00481470">
                <w:rPr>
                  <w:rStyle w:val="a8"/>
                </w:rPr>
                <w:t>goo</w:t>
              </w:r>
              <w:r w:rsidR="00481470" w:rsidRPr="00481470">
                <w:rPr>
                  <w:rStyle w:val="a8"/>
                  <w:lang w:val="uk-UA"/>
                </w:rPr>
                <w:t>.</w:t>
              </w:r>
              <w:proofErr w:type="spellStart"/>
              <w:r w:rsidR="00481470">
                <w:rPr>
                  <w:rStyle w:val="a8"/>
                </w:rPr>
                <w:t>gl</w:t>
              </w:r>
              <w:proofErr w:type="spellEnd"/>
              <w:r w:rsidR="00481470" w:rsidRPr="00481470">
                <w:rPr>
                  <w:rStyle w:val="a8"/>
                  <w:lang w:val="uk-UA"/>
                </w:rPr>
                <w:t>/</w:t>
              </w:r>
              <w:r w:rsidR="00481470">
                <w:rPr>
                  <w:rStyle w:val="a8"/>
                </w:rPr>
                <w:t>forms</w:t>
              </w:r>
              <w:r w:rsidR="00481470" w:rsidRPr="00481470">
                <w:rPr>
                  <w:rStyle w:val="a8"/>
                  <w:lang w:val="uk-UA"/>
                </w:rPr>
                <w:t>/</w:t>
              </w:r>
              <w:proofErr w:type="spellStart"/>
              <w:r w:rsidR="00481470">
                <w:rPr>
                  <w:rStyle w:val="a8"/>
                </w:rPr>
                <w:t>sr</w:t>
              </w:r>
              <w:proofErr w:type="spellEnd"/>
              <w:r w:rsidR="00481470" w:rsidRPr="00481470">
                <w:rPr>
                  <w:rStyle w:val="a8"/>
                  <w:lang w:val="uk-UA"/>
                </w:rPr>
                <w:t>7</w:t>
              </w:r>
              <w:r w:rsidR="00481470">
                <w:rPr>
                  <w:rStyle w:val="a8"/>
                </w:rPr>
                <w:t>S</w:t>
              </w:r>
              <w:r w:rsidR="00481470" w:rsidRPr="00481470">
                <w:rPr>
                  <w:rStyle w:val="a8"/>
                  <w:lang w:val="uk-UA"/>
                </w:rPr>
                <w:t>5</w:t>
              </w:r>
              <w:proofErr w:type="spellStart"/>
              <w:r w:rsidR="00481470">
                <w:rPr>
                  <w:rStyle w:val="a8"/>
                </w:rPr>
                <w:t>AqXuX</w:t>
              </w:r>
              <w:proofErr w:type="spellEnd"/>
              <w:r w:rsidR="00481470" w:rsidRPr="00481470">
                <w:rPr>
                  <w:rStyle w:val="a8"/>
                  <w:lang w:val="uk-UA"/>
                </w:rPr>
                <w:t>34</w:t>
              </w:r>
              <w:proofErr w:type="spellStart"/>
              <w:r w:rsidR="00481470">
                <w:rPr>
                  <w:rStyle w:val="a8"/>
                </w:rPr>
                <w:t>yDCg</w:t>
              </w:r>
              <w:proofErr w:type="spellEnd"/>
              <w:r w:rsidR="00481470" w:rsidRPr="00481470">
                <w:rPr>
                  <w:rStyle w:val="a8"/>
                  <w:lang w:val="uk-UA"/>
                </w:rPr>
                <w:t>2</w:t>
              </w:r>
            </w:hyperlink>
          </w:p>
        </w:tc>
      </w:tr>
    </w:tbl>
    <w:p w:rsidR="00850FBF" w:rsidRPr="00C61B8E" w:rsidRDefault="00850FBF">
      <w:pPr>
        <w:jc w:val="both"/>
        <w:rPr>
          <w:sz w:val="24"/>
          <w:szCs w:val="24"/>
          <w:lang w:val="uk-UA"/>
        </w:rPr>
      </w:pPr>
    </w:p>
    <w:p w:rsidR="00850FBF" w:rsidRDefault="00E1418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Програма </w:t>
      </w:r>
      <w:proofErr w:type="spellStart"/>
      <w:r>
        <w:rPr>
          <w:b/>
          <w:sz w:val="24"/>
          <w:szCs w:val="24"/>
          <w:lang w:val="uk-UA"/>
        </w:rPr>
        <w:t>вебінару</w:t>
      </w:r>
      <w:proofErr w:type="spellEnd"/>
    </w:p>
    <w:tbl>
      <w:tblPr>
        <w:tblW w:w="935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3810"/>
        <w:gridCol w:w="5083"/>
      </w:tblGrid>
      <w:tr w:rsidR="00850FBF">
        <w:trPr>
          <w:cantSplit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E9E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0FBF" w:rsidRDefault="00850FB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E9E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0FBF" w:rsidRDefault="00E14183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E9E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0FBF" w:rsidRDefault="00E14183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Опис</w:t>
            </w:r>
          </w:p>
        </w:tc>
      </w:tr>
      <w:tr w:rsidR="00850FBF" w:rsidRPr="00765096">
        <w:trPr>
          <w:cantSplit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0FBF" w:rsidRDefault="00E1418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0FBF" w:rsidRDefault="00E141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ЄС як феномен, що породжує питання, дає відповіді на них та започатковує  тренди, або «ЄС як феномен, що випереджає свій час».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0FBF" w:rsidRDefault="00E141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Чергове повернення до державного будівництва у Європі, праві при владі, </w:t>
            </w:r>
            <w:proofErr w:type="spellStart"/>
            <w:r>
              <w:rPr>
                <w:sz w:val="24"/>
                <w:szCs w:val="24"/>
                <w:lang w:val="uk-UA"/>
              </w:rPr>
              <w:t>антиєвропейські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настрої  населення: чи помітили б ми це, чи систематизували б, якби не було ЄС? </w:t>
            </w:r>
          </w:p>
        </w:tc>
      </w:tr>
      <w:tr w:rsidR="00850FBF" w:rsidRPr="00765096">
        <w:trPr>
          <w:cantSplit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0FBF" w:rsidRDefault="00E1418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0FBF" w:rsidRDefault="00E141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Нове розуміння держави, права, громадянства у сучасному світі та їх практична перевірка на «полігоні» ЄС.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0FBF" w:rsidRDefault="00E141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Спосіб поєднання державних, регіональних та глобальних інтересів; врядування та публічне адміністрування; гарантія прав за межами традиційного гаранта – держави…  Досягнення чи небезпечні експерименти? Практичний досвід чи теоретичні конструкти? Значення досвіду ЄС.</w:t>
            </w:r>
          </w:p>
        </w:tc>
      </w:tr>
      <w:tr w:rsidR="00850FBF" w:rsidRPr="00765096">
        <w:trPr>
          <w:cantSplit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0FBF" w:rsidRDefault="00E1418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0FBF" w:rsidRDefault="00E141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«Чи розвалиться ЄС найближчим часом?» та «Куди рухається ЄС і навіщо він </w:t>
            </w:r>
            <w:proofErr w:type="spellStart"/>
            <w:r>
              <w:rPr>
                <w:sz w:val="24"/>
                <w:szCs w:val="24"/>
                <w:lang w:val="uk-UA"/>
              </w:rPr>
              <w:t>потрібе</w:t>
            </w:r>
            <w:proofErr w:type="spellEnd"/>
            <w:r>
              <w:rPr>
                <w:sz w:val="24"/>
                <w:szCs w:val="24"/>
                <w:lang w:val="ru-RU"/>
              </w:rPr>
              <w:t>н?»</w:t>
            </w:r>
            <w:r>
              <w:rPr>
                <w:sz w:val="24"/>
                <w:szCs w:val="24"/>
                <w:lang w:val="uk-UA"/>
              </w:rPr>
              <w:t xml:space="preserve"> : контексти </w:t>
            </w:r>
            <w:proofErr w:type="spellStart"/>
            <w:r>
              <w:rPr>
                <w:sz w:val="24"/>
                <w:szCs w:val="24"/>
                <w:lang w:val="uk-UA"/>
              </w:rPr>
              <w:t>релевантності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недоцільності цих питань.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0FBF" w:rsidRDefault="00E141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Неоднозначні питання та безсумнівне значення пошуку відповіді на них, або, чим ЄС, за будь-яких обставин, увічнить себе.</w:t>
            </w:r>
          </w:p>
        </w:tc>
      </w:tr>
      <w:tr w:rsidR="00850FBF" w:rsidRPr="00765096">
        <w:trPr>
          <w:cantSplit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0FBF" w:rsidRDefault="00E1418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0FBF" w:rsidRDefault="00E141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виклики ЄС та виклики європейських студій: чи співпадають ці виклики?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0FBF" w:rsidRDefault="00E141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Чи співпадають виклики, що стоять перед ЄС, з викликами, що стоять перед європейськими студіями? Що саме має осмислювати «сова Мінерви» у європейських студіях? Чи варто вивчати ЄС, якщо він має утруднення у відповідях на виклики, що перед ним постають? </w:t>
            </w:r>
          </w:p>
        </w:tc>
      </w:tr>
      <w:tr w:rsidR="00850FBF" w:rsidRPr="00765096">
        <w:trPr>
          <w:cantSplit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0FBF" w:rsidRDefault="00E1418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0FBF" w:rsidRDefault="00E141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 саме варто вивчати у досвіді ЄС пострадянським країнам, країнам Східної Європи – дискусія з аудиторією.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0FBF" w:rsidRDefault="00E141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Визначення точок, на яких європейські студії є перспективними та життєво необхідними для Східної Європи.</w:t>
            </w:r>
          </w:p>
        </w:tc>
      </w:tr>
    </w:tbl>
    <w:p w:rsidR="00850FBF" w:rsidRDefault="00850FBF">
      <w:pPr>
        <w:jc w:val="center"/>
        <w:rPr>
          <w:b/>
          <w:sz w:val="24"/>
          <w:szCs w:val="24"/>
          <w:lang w:val="uk-UA"/>
        </w:rPr>
      </w:pPr>
    </w:p>
    <w:p w:rsidR="00850FBF" w:rsidRDefault="00850FBF">
      <w:pPr>
        <w:rPr>
          <w:sz w:val="20"/>
          <w:szCs w:val="20"/>
          <w:lang w:val="uk-UA"/>
        </w:rPr>
      </w:pPr>
    </w:p>
    <w:p w:rsidR="00850FBF" w:rsidRDefault="00850FBF">
      <w:pPr>
        <w:rPr>
          <w:sz w:val="20"/>
          <w:szCs w:val="20"/>
          <w:lang w:val="uk-UA"/>
        </w:rPr>
      </w:pPr>
    </w:p>
    <w:p w:rsidR="00850FBF" w:rsidRDefault="00E14183">
      <w:pPr>
        <w:widowControl w:val="0"/>
        <w:spacing w:after="0" w:line="240" w:lineRule="auto"/>
        <w:jc w:val="both"/>
        <w:rPr>
          <w:rFonts w:ascii="Times New Roman" w:eastAsia="Arial" w:hAnsi="Times New Roman"/>
          <w:b/>
          <w:bCs/>
          <w:kern w:val="1"/>
          <w:sz w:val="24"/>
          <w:szCs w:val="24"/>
          <w:lang w:val="en-GB"/>
        </w:rPr>
      </w:pPr>
      <w:r>
        <w:rPr>
          <w:rFonts w:ascii="Times New Roman" w:eastAsia="Arial" w:hAnsi="Times New Roman"/>
          <w:b/>
          <w:bCs/>
          <w:kern w:val="1"/>
          <w:sz w:val="24"/>
          <w:szCs w:val="24"/>
          <w:lang w:val="en-GB"/>
        </w:rPr>
        <w:t>This project has been funded with support from the European Commission. This publication reflects the views only of the author, and the Commission cannot be held</w:t>
      </w:r>
    </w:p>
    <w:p w:rsidR="00850FBF" w:rsidRDefault="00297ABD">
      <w:pPr>
        <w:widowControl w:val="0"/>
        <w:spacing w:after="0" w:line="240" w:lineRule="auto"/>
        <w:jc w:val="both"/>
        <w:rPr>
          <w:rFonts w:ascii="Times New Roman" w:eastAsia="Arial" w:hAnsi="Times New Roman"/>
          <w:b/>
          <w:bCs/>
          <w:kern w:val="1"/>
          <w:sz w:val="24"/>
          <w:szCs w:val="24"/>
          <w:lang w:val="uk-UA"/>
        </w:rPr>
      </w:pPr>
      <w:proofErr w:type="gramStart"/>
      <w:r>
        <w:rPr>
          <w:rFonts w:ascii="Times New Roman" w:eastAsia="Arial" w:hAnsi="Times New Roman"/>
          <w:b/>
          <w:bCs/>
          <w:kern w:val="1"/>
          <w:sz w:val="24"/>
          <w:szCs w:val="24"/>
          <w:lang w:val="en-GB"/>
        </w:rPr>
        <w:t>responsible</w:t>
      </w:r>
      <w:proofErr w:type="gramEnd"/>
      <w:r>
        <w:rPr>
          <w:rFonts w:ascii="Times New Roman" w:eastAsia="Arial" w:hAnsi="Times New Roman"/>
          <w:b/>
          <w:bCs/>
          <w:kern w:val="1"/>
          <w:sz w:val="24"/>
          <w:szCs w:val="24"/>
          <w:lang w:val="en-GB"/>
        </w:rPr>
        <w:t xml:space="preserve"> for any u</w:t>
      </w:r>
      <w:r w:rsidR="00E14183">
        <w:rPr>
          <w:rFonts w:ascii="Times New Roman" w:eastAsia="Arial" w:hAnsi="Times New Roman"/>
          <w:b/>
          <w:bCs/>
          <w:kern w:val="1"/>
          <w:sz w:val="24"/>
          <w:szCs w:val="24"/>
          <w:lang w:val="en-GB"/>
        </w:rPr>
        <w:t>se which may be made of the information contained therein.</w:t>
      </w:r>
      <w:bookmarkStart w:id="0" w:name="_GoBack"/>
      <w:bookmarkEnd w:id="0"/>
    </w:p>
    <w:sectPr w:rsidR="00850FBF" w:rsidSect="00DA1ED2">
      <w:headerReference w:type="default" r:id="rId8"/>
      <w:endnotePr>
        <w:numFmt w:val="decimal"/>
      </w:endnotePr>
      <w:pgSz w:w="12240" w:h="15840"/>
      <w:pgMar w:top="1440" w:right="1440" w:bottom="1440" w:left="14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11" w:rsidRDefault="00641111">
      <w:pPr>
        <w:spacing w:after="0" w:line="240" w:lineRule="auto"/>
      </w:pPr>
      <w:r>
        <w:separator/>
      </w:r>
    </w:p>
  </w:endnote>
  <w:endnote w:type="continuationSeparator" w:id="0">
    <w:p w:rsidR="00641111" w:rsidRDefault="0064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11" w:rsidRDefault="00641111">
      <w:pPr>
        <w:spacing w:after="0" w:line="240" w:lineRule="auto"/>
      </w:pPr>
      <w:r>
        <w:separator/>
      </w:r>
    </w:p>
  </w:footnote>
  <w:footnote w:type="continuationSeparator" w:id="0">
    <w:p w:rsidR="00641111" w:rsidRDefault="0064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09" w:rsidRDefault="009F6809">
    <w:pPr>
      <w:jc w:val="center"/>
    </w:pPr>
    <w:r>
      <w:rPr>
        <w:noProof/>
        <w:lang w:val="ru-RU" w:eastAsia="ru-RU"/>
      </w:rPr>
      <w:drawing>
        <wp:inline distT="0" distB="0" distL="0" distR="0" wp14:anchorId="56CBE033" wp14:editId="6664E183">
          <wp:extent cx="5943600" cy="9601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BF"/>
    <w:rsid w:val="00297ABD"/>
    <w:rsid w:val="003D2A3B"/>
    <w:rsid w:val="00481470"/>
    <w:rsid w:val="00641111"/>
    <w:rsid w:val="006A782C"/>
    <w:rsid w:val="00765096"/>
    <w:rsid w:val="00807BCC"/>
    <w:rsid w:val="00850FBF"/>
    <w:rsid w:val="009F2FB1"/>
    <w:rsid w:val="009F6809"/>
    <w:rsid w:val="00A44888"/>
    <w:rsid w:val="00B07FB4"/>
    <w:rsid w:val="00B80A2D"/>
    <w:rsid w:val="00C61B8E"/>
    <w:rsid w:val="00DA1ED2"/>
    <w:rsid w:val="00DE0EC2"/>
    <w:rsid w:val="00E14183"/>
    <w:rsid w:val="00E42DE4"/>
    <w:rsid w:val="00E9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tabs>
        <w:tab w:val="center" w:pos="4680"/>
        <w:tab w:val="right" w:pos="9360"/>
      </w:tabs>
    </w:pPr>
  </w:style>
  <w:style w:type="paragraph" w:customStyle="1" w:styleId="4">
    <w:name w:val="Основний текст (4)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780" w:after="300" w:line="0" w:lineRule="atLeast"/>
      <w:ind w:hanging="440"/>
      <w:jc w:val="both"/>
    </w:pPr>
    <w:rPr>
      <w:rFonts w:ascii="Times New Roman" w:eastAsia="Times New Roman" w:hAnsi="Times New Roman"/>
      <w:b/>
      <w:bCs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1418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183"/>
    <w:rPr>
      <w:rFonts w:ascii="Lucida Grande CY" w:hAnsi="Lucida Grande CY" w:cs="Lucida Grande CY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41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183"/>
  </w:style>
  <w:style w:type="character" w:styleId="a8">
    <w:name w:val="Hyperlink"/>
    <w:basedOn w:val="a0"/>
    <w:uiPriority w:val="99"/>
    <w:semiHidden/>
    <w:unhideWhenUsed/>
    <w:rsid w:val="004814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tabs>
        <w:tab w:val="center" w:pos="4680"/>
        <w:tab w:val="right" w:pos="9360"/>
      </w:tabs>
    </w:pPr>
  </w:style>
  <w:style w:type="paragraph" w:customStyle="1" w:styleId="4">
    <w:name w:val="Основний текст (4)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780" w:after="300" w:line="0" w:lineRule="atLeast"/>
      <w:ind w:hanging="440"/>
      <w:jc w:val="both"/>
    </w:pPr>
    <w:rPr>
      <w:rFonts w:ascii="Times New Roman" w:eastAsia="Times New Roman" w:hAnsi="Times New Roman"/>
      <w:b/>
      <w:bCs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1418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183"/>
    <w:rPr>
      <w:rFonts w:ascii="Lucida Grande CY" w:hAnsi="Lucida Grande CY" w:cs="Lucida Grande CY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41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183"/>
  </w:style>
  <w:style w:type="character" w:styleId="a8">
    <w:name w:val="Hyperlink"/>
    <w:basedOn w:val="a0"/>
    <w:uiPriority w:val="99"/>
    <w:semiHidden/>
    <w:unhideWhenUsed/>
    <w:rsid w:val="00481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sr7S5AqXuX34yDCg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Barantseva</dc:creator>
  <cp:lastModifiedBy>RePack by Diakov</cp:lastModifiedBy>
  <cp:revision>2</cp:revision>
  <dcterms:created xsi:type="dcterms:W3CDTF">2017-12-26T08:49:00Z</dcterms:created>
  <dcterms:modified xsi:type="dcterms:W3CDTF">2017-12-26T08:49:00Z</dcterms:modified>
</cp:coreProperties>
</file>